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292</w:t>
      </w:r>
    </w:p>
    <w:p>
      <w:r>
        <w:t>Bundesgericht (BGE), 2007-07-17, DE</w:t>
      </w:r>
    </w:p>
    <w:p>
      <w:r>
        <w:rPr>
          <w:b/>
        </w:rPr>
        <w:t xml:space="preserve">Quelle: </w:t>
      </w:r>
      <w:r>
        <w:t>https://mcp.opencaselaw.ch/entscheid/bge_133 II 292</w:t>
      </w:r>
    </w:p>
    <w:p>
      <w:r>
        <w:t>FR: ATF 133 II 292</w:t>
      </w:r>
    </w:p>
    <w:p>
      <w:r>
        <w:t>IT: DTF 133 II 292</w:t>
      </w:r>
    </w:p>
    <w:p>
      <w:pPr>
        <w:pStyle w:val="Heading2"/>
      </w:pPr>
      <w:r>
        <w:t>Regeste</w:t>
      </w:r>
    </w:p>
    <w:p>
      <w:r>
        <w:t>Regeste Art. 15, 19 und 23 USG; Art. 40 Abs. 3 LSV; Lärmschutz; Betrieb einer Sportanlage. Bei der Beurteilung der Lärmemissionen sind alle Geräusche in die Betrachtung miteinzubeziehen, die durch die bestimmungsgemässe Nutzung der Anlage verursacht werden (E. 3.1). Beurteilungskriterien für den von einer Sportanlage ausgehenden Lärm bei Fehlen von Belastungswerten (Bestätigung der Rechtsprechung; E. 3.3). Beurteilung der Lärmsituation unter Beizug der deutschen Sportanlagenlärmschutzverordnung (18. Verordnung zur Durchführung des Bundes-Immissionsschutzgesetzes vom 18. Juli 1991 [18. BImSchV]) durch das BAFU (E. 3.5). Unterschiede zwischen der 18. BImSchV und der schweizerischen Regelung (E. 4.1 und 4.2). Die Verordnung kann dem Richter als Entscheidhilfe dienen, soweit deren Kriterien mit dem schweizerischen Lärmschutzsystem vereinbar sind. Das BAFU hat Parallelen gesucht und einen gangbaren Weg aufgezeigt (E. 4.3). Aufgrund der heute zur Diskussion stehenden Betriebszeiten und verschiedenen vorgeschlagenen Lärmschutzmassnahmen lässt sich die Bundesrechtskonformität des Projekts nicht abschliessend beurteilen. Das Verwaltungsgericht hat bei seinem neuen Entscheid darzulegen, ob und inwiefern es bei seiner Beurteilung auf die 18. BImSchV abstellt (E. 4.4).</w:t>
      </w:r>
    </w:p>
    <w:p>
      <w:pPr>
        <w:pStyle w:val="Heading2"/>
      </w:pPr>
      <w:r>
        <w:t>Erwägungen</w:t>
      </w:r>
    </w:p>
    <w:p>
      <w:r>
        <w:rPr>
          <w:b/>
        </w:rPr>
        <w:t>E. 3.1</w:t>
      </w:r>
    </w:p>
    <w:p>
      <w:r>
        <w:t>Die Lärmschutzverordnung vom 15. Dezember 1986 (LSV; SR 814.41) soll die Bevölkerung vor schädlichem und lästigem Lärm schützen, der beim Betrieb neuer und bestehender Anlagen nach Art. 7 USG (SR 814.01) erzeugt wird (Art. 1 Abs. 1 und Abs. 2 lit. a LSV). Von diesem Schutzzweck her erscheint es angemessen, alle BGE 133 II 292 S. 296 einem Betrieb zurechenbaren Lärmemissionen in die Betrachtung miteinzubeziehen, d.h. alle Geräusche, die durch die bestimmungsgemässe Nutzung der Anlage verursacht werden ( BGE 123 II 74 E. 3b S. 79), unabhängig davon, ob sie innerhalb oder ausserhalb des Gebäudes bzw. des Betriebsareals verursacht werden ( BGE 123 II 325 E. 4a/bb S. 328 mit zahlreichen Hinweisen). Über den technischen Eigenlärm hinaus ist einer Sportanlage also derjenige Lärm zuzurechnen, der von ihren Benützern bei bestimmungsgemässer Nutzung innerhalb und ausserhalb der Anlage erzeugt wird. Dazu gehört der bei der Sportausübung selber erzeugte Lärm. Auch der Schall von Lautsprecheranlagen und ähnlichen Einrichtungen ist zum Betriebslärm zu rechnen, genauso wie der von Trainern, Sportlern und Zuschauern durch Rufe, Schreie und Pfiffe etc. verursachte Lärm (siehe zum Ganzen THOMAS WIDMER DREIFUSS, Planung und Realisierung von Sportanlagen: raumplanerische, baurechtliche und umweltrechtliche Aspekte beim Bau und der Sanierung von Sportanlagen, Diss. Zürich 2002, S. 326 ff.).</w:t>
      </w:r>
    </w:p>
    <w:p>
      <w:r>
        <w:rPr>
          <w:b/>
        </w:rPr>
        <w:t>E. 3.2</w:t>
      </w:r>
    </w:p>
    <w:p>
      <w:r>
        <w:t>Die LSV enthält jedoch nicht für alle Lärmarten Belastungsgrenzwerte. Solche fehlen insbesondere für so genannten "untechnischen" Alltagslärm, wie er Sportanlagen immanent ist (WIDMER DREIFUSS, a.a.O., S. 332). Während der Schall als physikalische Grösse exakt messbar ist, ist dessen unerwünschte Auswirkung - der Lärm - nicht messbar, sondern wird nach den Reaktionen der Betroffenen beurteilt. Für einige häufige, oft als besonders störend empfundene Schall- bzw. Lärmquellen (Strassenverkehr, Regionalflughäfen und Flugfelder, Industrie- und Gewerbebetriebe, Schiessanlagen) hat der Bundesrat gestützt auf Art. 13 Abs. 1 USG in den Anhängen 3 bis 7 der LSV mit den Belastungsgrenzwerten (Planungs-, Immissionsgrenz- und Alarmwerte; Art. 2 Abs. 5 LSV ) objektive Beurteilungskriterien aufgestellt, die auf die durchschnittliche Reaktion normal lärmempfindlicher Personen abgestützt sind (Urteil 1A.282/1993 vom 1. Dezember 1994, E. 3b, publ. in: URP 1995 S. 31 ff.).</w:t>
      </w:r>
    </w:p>
    <w:p>
      <w:r>
        <w:rPr>
          <w:b/>
        </w:rPr>
        <w:t>E. 3.3</w:t>
      </w:r>
    </w:p>
    <w:p>
      <w:r>
        <w:t>Fehlen Belastungsgrenzwerte, so beurteilt die Vollzugsbehörde die Lärmimmissionen nach Art. 15 USG , unter Berücksichtigung der Art. 19 und 23 USG ( Art. 40 Abs. 3 LSV ; BGE 126 II 300 E. 4c/aa S. 307; BGE 123 II 74 E. 4a und b S. 82 f.; BGE 118 Ib 590 E. 3b S. 596). Nach Art. 15 USG sind die Immissionsgrenzwerte für Lärm so festzulegen, dass nach dem Stand der Wissenschaft oder der Erfahrung Immissionen unterhalb dieser Werte die Bevölkerung in ihrem BGE 133 II 292 S. 297 Wohlbefinden nicht erheblich stören. Im Rahmen dieser Einzelfallbeurteilung sind der Charakter des Lärms, Zeitpunkt und Häufigkeit seines Auftretens sowie die Lärmempfindlichkeit bzw. Lärmvorbelastung zu berücksichtigen ( BGE 123 II 74 E. 5a S. 86, BGE 123 II 325 E. 4d/bb S. 335; BGE 118 Ib 590 E. 4a S. 598). Dabei ist nicht auf das subjektive Lärmempfinden einzelner Personen abzustellen, sondern eine objektivierte Betrachtung unter Berücksichtigung von Personen mit erhöhter Empfindlichkeit ( Art. 13 Abs. 2 USG ) vorzunehmen ( BGE 126 II 366 E. 2c S. 368, BGE 123 II 300 E. 4c/aa S. 307; BGE 123 II 74 E. 5a S. 86, BGE 123 II 325 E. 4d/bb S. 334; Urteil des Bundesgerichts 1A.282/1993 vom 1. Dezember 1994, E. 4c, publ. in: URP 1995 S. 31). Unter Umständen können fachlich genügend abgestützte ausländische bzw. private Richtlinien eine Entscheidungshilfe bieten, sofern die Kriterien, auf welchen diese Unterlagen beruhen, mit denjenigen des schweizerischen Lärmschutzrechtes vereinbar sind. Als grundsätzlich problematisch muss hingegen die "sinngemässe" Anwendung von Grenzwerten, namentlich der Grenzwerte für Industrie- und Gewerbelärm, beurteilt werden. Belastungsgrenzwerte setzen typisierbare Situationen voraus, die sich auf einfache Weise durch akustische Beschreibungsgrössen zuverlässig erfassen lassen ( BGE 123 II 325 E. 4d/bb S. 334 mit Hinweisen). Für die Beurteilung von Sportlärm bietet sich insbesondere die deutsche Sportanlagenlärmschutzverordnung (Achtzehnte Verordnung zur Durchführung des Bundes-Immissionsschutzgesetzes vom 18. Juli 1991 [18. BImSchV]) an, deren Regelungen diejenigen des deutschen Bundesimmissionsschutzgesetzes ergänzen und den besonderen Charakteristiken von Sportgeräuschen speziell Rechnung tragen (WIDMER DREIFUSS, a.a.O., S. 335; CHRISTOPH ZÄCH/ROBERT WOLF, Kommentar USG, N. 44 zu Art. 15 USG ). Der deutsche Verordnungsgeber hat den Sportlärm in seiner Gesamtheit berücksichtigt und an den bestimmungsgemäss ermittelten Lärmbeurteilungspegeln Korrektive in Form von Zuschlägen angebracht (siehe dazu Ziff. 1.3.2.3 und 2.4 des Anhangs zur BImSchV).</w:t>
      </w:r>
    </w:p>
    <w:p>
      <w:r>
        <w:rPr>
          <w:b/>
        </w:rPr>
        <w:t>E. 3.4</w:t>
      </w:r>
    </w:p>
    <w:p>
      <w:r>
        <w:t>Der vom Verwaltungsgericht beauftragte Experte hat denn bei seiner Beurteilung auch die 18. BImSchV berücksichtigt. Die Vorinstanz stimmt dem Experten darin zu, dass die deutsche Verordnung die Anforderungen an eine geeignete, den Stand der Technik wiedergebende Beurteilungsgrundlage eher erfülle als der Anhang 6 der LSV. BGE 133 II 292 S. 298</w:t>
      </w:r>
    </w:p>
    <w:p>
      <w:r>
        <w:rPr>
          <w:b/>
        </w:rPr>
        <w:t>E. 3.5</w:t>
      </w:r>
    </w:p>
    <w:p>
      <w:r>
        <w:t>Das Bundesamt für Umwelt (BAFU) hält dazu in seiner Stellungnahme fest, die Systematik der 18. BImSchV unterscheide sich von der in der LSV üblicherweise verwendeten Systematik, welche auf jahresdurchschnittliche Beurteilungspegel abstellt, wohingegen sich die deutschen Beurteilungspegel auf sehr kleine Mittelungszeiten beziehen. Zusammen mit den ebenfalls strengen Richtwerten - insbesondere innerhalb der festgelegten Ruhezeiten - würden die Anwohner gestützt auf die deutsche Verordnung einen erheblichen Schutzanspruch erhalten, welcher deutlich über dem sonst üblichen Schutzanspruch vor Lärm in Deutschland liege. Demgegenüber würden den Anwohnern auch Lasten auferlegt: Es gibt eine Regelung für seltene Ereignisse, bei denen die Immissionsrichtwerte um nicht mehr als 10 dB überschritten werden bzw. keinesfalls gewisse Höchstwerte erreichen dürfen. Solche seltenen Ereignisse werden auf 18 Kalendertage pro Jahr beschränkt (siehe Ziff. 1.5 des Anhangs der 18. BImSchV). Die jeweilige Ermittlungsmethode und die Belastungsgrenz- bzw. Richtwerte hängen gemäss Ausführungen des BAFU aufgrund ihres Zweckes und der gemeinsamen Erarbeitung eng miteinander zusammen, weshalb das Bundesamt die Anwendung der Verordnung nur als "ganzes Paket" empfiehlt, also sowohl hinsichtlich der Lärmermittlung wie auch in Bezug auf die Anwendung der Richtwerte. Das BAFU weist indes darauf hin, dass seines Erachtens die Immissionsrichtwerte der 18. BImSchV Richtwerte darstellen und keine Belastungsgrenzwerte. Der deutsche Verordnungsgeber überlasse den Vollzugsbehörden somit einen Ermessensspielraum. Dieser könne u.a. dazu genutzt werden, die Vorbelastung eines Wohngebietes zu berücksichtigen, was in der Schweiz durch die Zuordnung der Lärm-Empfindlichkeitsstufen (ES) geschehe. Weiter gälten die Immissionsrichtwerte gemäss § 1 Abs. 1 der 18. BImSchV für die Errichtung und den Betrieb von neuen Anlagen. Für Betriebe, welche vor Inkrafttreten der Verordnung baurechtlich genehmigt resp. bereits errichtet waren, gälten gemäss § 5 Abs. 4 der 18. BImSchV erhöhte Immissionsrichtwerte. Diese erhöhten Richtwerte entsprächen in ihrer Funktion den Immissionsgrenzwerten nach schweizerischem System, wohingegen die deutschen Immissionsrichtwerte ihrer Funktion nach den schweizerischen Planungswerten gleichzusetzen seien.</w:t>
      </w:r>
    </w:p>
    <w:p>
      <w:r>
        <w:rPr>
          <w:b/>
        </w:rPr>
        <w:t>E. 3.5.1</w:t>
      </w:r>
    </w:p>
    <w:p>
      <w:r>
        <w:t>Sodann kenne die 18. BImSchV mehr Empfindlichkeitsstufen als das schweizerische Recht. Das BAFU macht darauf aufmerksam, dass bei der Übertragung auf hiesige Verhältnisse deshalb nicht BGE 133 II 292 S. 299 nur auf die Beschreibung der Nutzung in den Wohngebieten abzustellen sei. Vielmehr sei sowohl die Praxis bei der Ausscheidung bzw. Bezeichnung solcher Gebiete in Deutschland als auch diejenige bei der schweizerischen ES-Zuordnung zu beachten. Gestützt auf diese Überlegungen empfiehlt das BAFU, die Werte für die allgemeinen Wohngebiete und Kleinsiedlungsgebiete (§ 2 Abs. 2 Ziff. 3 der 18. BImSchV) als massgebende Richtwerte für die ES II anzuwenden. Die Werte für die reinen Wohngebiete in Deutschland (§ 2 Abs. 2 Ziff. 4 der 18. BImSchV) müssten als Zwischenstufe zwischen der ES I und II betrachtet werden. Das BAFU erstellt dazu ein Beurteilungsschema und leitet in Anlehnung an die 18. BImSchV Richtwerte ab, welche in ihrer Funktion den schweizerischen Planungs- und Immissionsgrenzwerten entsprechen sollen.</w:t>
      </w:r>
    </w:p>
    <w:p>
      <w:r>
        <w:rPr>
          <w:b/>
        </w:rPr>
        <w:t>E. 3.5.2</w:t>
      </w:r>
    </w:p>
    <w:p>
      <w:r>
        <w:t>Auf diese Grundlagen abstellend, kommt das BAFU zum Schluss, das Lärmgutachten der EMPA vom 27. April 2005 und die Ergänzungen vom 13. April 2006 würden den Anforderungen der 18. BImSchV nicht gerecht; sie seien für die Beurteilung des Projekts unvollständig. Demgegenüber entspreche das von den privaten Beschwerdeführern beim Lärmkontor in Hamburg neu in Auftrag gegebene Gutachten der deutschen Verordnung und lasse eine störungsgerechte Beurteilung der Situation im Prinzip zu. Die Quellenwerte, welche der Lärmkontor seinen Berechnungen zu Grunde gelegt habe, könnten im vorliegenden Fall als gute Ausgangswerte bezeichnet werden. Hinsichtlich der Beurteilung kurzzeitiger Geräuschspitzen könne zudem auf die Messungen der EMPA abgestellt werden. Das BAFU zieht darum für seine Beurteilung beide Gutachten bei, was ihm seines Erachtens eine störungsgerechte Beurteilung der Lärmsituation erlaubt. Nach seinen neuen Berechnungen wären folgende Benützungszeiten der Anlage "Ländli" möglich: - Montag-Freitag von 6.00-8.00 Uhr (morgendliche Ruhezeit): Schulsport ist möglich. - Montag-Freitag von 8.00-20.00 Uhr: jeglicher Trainingsbetrieb, Ligaspiele ohne Zuschauerrampe sowie Turntraining mit Musik sind BGE 133 II 292 S. 300 möglich. Eine Mittagspause muss nicht eingelegt werden. - Montag-Freitag von 20.00-22.00 Uhr: jeglicher Trainingsbetrieb, Ligaspiele ohne Zuschauerrampe sowie Turntraining mit Musik sind möglich. - Samstag von 8.00 Uhr bis 20.00 Uhr: jeglicher Trainingsbetrieb, zwei Ligaspiele mit Zuschauerrampe sowie Turntraining mit Musik sind möglich. Der Einsatz der mobilen Beschallungsanlage mit plombierter Pegelbegrenzung ist ebenfalls möglich. Eine Mittagspause muss nicht eingelegt werden. - Samstag von 20.00-22.00 Uhr: jeglicher Trainingsbetrieb, Ligaspiele ohne Zuschauerrampe sowie Turntraining mit Musik sind möglich. - Sonntag: Eine Nutzung ist grundsätzlich nicht ausgeschlossen, müsste sich jedoch auf maximal vier Stunden beschränken. Zusätzlich hält das BAFU fest, kurzzeitige Geräuschspitzen während dieses Betriebs würden gemäss der Messungen der EMPA die einzuhaltenden Immissionsgrenzwerte nicht überschreiten. Als so genannte "seltene Ereignisse" könnten insgesamt an 18 Kalendertagen sportliche oder nicht sportliche Grossanlässe (z.B. auch weitere Ligaspiele mit Zuschauerrampe) unter Einhaltung der speziell dafür vorgesehenen Immissionsgrenzwerte stattfinden. Die Berechnungen des BAFU lassen demzufolge einerseits eine grosszügigere Nutzung der Anlage zu als die vom Verwaltungsgericht errechnete. Andererseits lässt das BAFU unter der Woche und samstags von 20.00-22.00 Uhr bei Ligaspielen keine Zuschauerrampe zu. Nach Auffassung des BAFU kommt Art. 11 Abs. 3 USG (die verschärfte Emissionsbegrenzung) als Grundlage für die vom Verwaltungsgericht verfügten Einschränkungen nicht in Frage. Indessen seien strengere Betriebszeiten im Rahmen des Vorsorgeprinzips gestützt auf Art. 11 Abs. 2 USG i.V.m. Art. 8 Abs. 1 LSV allenfalls zu rechtfertigen. Da eine Prüfung unter diesem Aspekt bis anhin nicht stattgefunden hat, lässt das BAFU diese Frage offen.</w:t>
      </w:r>
    </w:p>
    <w:p>
      <w:r>
        <w:rPr>
          <w:b/>
        </w:rPr>
        <w:t>E. 3.6</w:t>
      </w:r>
    </w:p>
    <w:p>
      <w:r>
        <w:t>Die Gemeinde wendet sich grundsätzlich gegen die Anwendung der 18. BImSchV. Es sei nicht angängig, die Systematik der deutschen Verordnung derjenigen des schweizerischen Rechts anzugleichen. Insbesondere kenne das USG weder spezielle Ruhezeiten noch Spezialwerte für Sonn- und Feiertage. Sodann stellt sie Detailfragen zu der vom BAFU vorgeschlagenen Nutzungsregelung.</w:t>
      </w:r>
    </w:p>
    <w:p>
      <w:r>
        <w:rPr>
          <w:b/>
        </w:rPr>
        <w:t>E. 3.7</w:t>
      </w:r>
    </w:p>
    <w:p>
      <w:r>
        <w:t>Die privaten Beschwerdeführer qualifizieren das Vorhaben als Neuanlage. Zudem erachten sie die Auslegung der 18. BImSchV durch das BAFU in verschiedener Hinsicht als fehlerhaft.</w:t>
      </w:r>
    </w:p>
    <w:p>
      <w:r>
        <w:rPr>
          <w:b/>
        </w:rPr>
        <w:t>E. 3.8</w:t>
      </w:r>
    </w:p>
    <w:p>
      <w:r>
        <w:t>Nachfolgend ist zu prüfen, ob das vom BAFU vorgeschlagene Vorgehen zur Klärung der Lärmsituation sachgerecht und rechtmässig ist und welche Konsequenzen sich gegebenenfalls daraus ergeben. BGE 133 II 292 S. 301</w:t>
      </w:r>
    </w:p>
    <w:p>
      <w:r>
        <w:rPr>
          <w:b/>
        </w:rPr>
        <w:t>E. 4.1</w:t>
      </w:r>
    </w:p>
    <w:p>
      <w:r>
        <w:t>Die 18. BImSchV stellt zum Schutz der Allgemeinheit und der Nachbarschaft vor schädlichen Umwelteinwirkungen Anforderungen an die Errichtung und den Betrieb (immissionsschutzrechtlich) nicht genehmigungsbedürftiger Sportanlagen. Zu diesem Zweck konkretisieren die Richtwerte verbindlich die Zumutbarkeit (so das deutsche Bundesverwaltungsgericht [BVwGer] in der Neuen Zeitschrift für Verwaltungsrecht [NVwZ] 2000 S. 1050, 1051; BVerwG, NVwZ 1995 S. 993; NVwZ 2000 S. 550). Umstritten ist, ob die Richtwerte zugleich eine absolute Zumutbarkeitsschwelle markieren, die unter keinen Umständen unterschritten werden darf (GERD KETTELER, Die Sportanlagenlärmschutzverordnung in Rechtsprechung und behördlicher Praxis, NVwZ 2002 S. 1072 mit Hinweisen). Die von den privaten Beschwerdeführern gerügte Feststellung des Bundesamtes, wonach der deutsche Gesetzgeber den Vollzugsbehörden bei der Anwendung der Richtwerte einen Ermessensspielraum zugestehe, ist nicht entscheidrelevant; das BAFU hat die vorgegebenen Richtwerte bei seiner Beurteilung des Sportlärms herangezogen, was grundsätzlich nicht zu beanstanden ist.</w:t>
      </w:r>
    </w:p>
    <w:p>
      <w:r>
        <w:rPr>
          <w:b/>
        </w:rPr>
        <w:t>E. 4.2</w:t>
      </w:r>
    </w:p>
    <w:p>
      <w:r>
        <w:t>Weiter erscheint die Interpretation von § 5 Abs. 4 der 18. BImSchV, wie sie das BAFU vorgenommen hat, missverständlich. Gemäss der zitierten Norm soll die zuständige Behörde bei Sportanlagen, die vor Inkrafttreten dieser Verordnung baurechtlich genehmigt oder - soweit eine Baugenehmigung nicht erforderlich war - errichtet waren, von einer Festsetzung von Betriebszeiten absehen, wenn die Immissionsrichtwerte an den in § 2 Abs. 2 genannten Immissionsorten jeweils um weniger als 5 dB(A) überschritten werden; dies gilt nicht an den in § 2 Abs. 2 Nr. 5 genannten Immissionsorten. Indes bedeutet dies nichts anderes, als dass bei einer Lärmüberschreitung von mehr als 5 dB(A) Betriebszeiten festgelegt werden sollen, welche den Immissionen Rechnung tragen. Gemäss deutscher Praxis bezieht sich die Privilegierung von Altanlagen nur auf die Festsetzung von Betriebszeiten und beinhaltet keine generelle Erhöhung der Richtwerte, so dass alle anderen (technischen, baulichen, organisatorischen) Massnahmen, die der Einhaltung der Immissionsrichtwerte dienen, angeordnet werden können (KETTELER, a.a.O., S. 1074 mit Hinweisen). Grundsätzlich gelten demnach im deutschen Recht bei Altanlagen dieselben Richtwerte wie bei neu erstellten Anlagen. Die Feststellung des BAFU ist dennoch nicht schlechthin falsch, wenn es davon ausgeht, bei Altanlagen gälten um BGE 133 II 292 S. 302</w:t>
      </w:r>
    </w:p>
    <w:p>
      <w:r>
        <w:rPr>
          <w:b/>
        </w:rPr>
        <w:t>E. 4.3</w:t>
      </w:r>
    </w:p>
    <w:p>
      <w:r>
        <w:t>Die Verordnung kann dem Richter als Entscheidhilfe dienen, soweit deren Kriterien mit dem schweizerischen Lärmschutzsystem vereinbar sind. Zu beachten ist dabei konkret, dass das deutsche Recht die Störwirkung von an sich nicht messbaren Faktoren mit einem Korrekturzuschlag von einer bestimmten Anzahl dB(A) auf die technisch ermittelten Werte erfasst. WIDMER DREIFUSS weist denn auch darauf hin, dass das deutsche System die Gefahr bergen könnte, Sportgeräusche zu starr zu beurteilen (WIDMER DREIFUSS, a.a.O., S. 352). Hinzu kommt, dass die 18. BImSchV Ruhezeiten kennt (an Werktagen morgens von 6.00-8.00 Uhr und abends von 20.00-22.00 Uhr; an Sonn- und Feiertagen von 7.00-9.00 Uhr, von 13.00-15.00 Uhr und von 20.00-22.00 Uhr; § 2 Abs. 5 der 18. BImSchV), welche dem schweizerischen System grundsätzlich fremd sind. Indes regelt die LSV wie gesehen den Sportlärm überhaupt nicht, weshalb eine Anlehnung an die deutsche Regelung auch in diesem Bereich möglich ist. Allenfalls lassen sich solche Einschränkungen unter dem Aspekt des Vorsorgeprinzips gemäss Art. 11 Abs. 2 USG begründen. Das BAFU hat nach Parallelen gesucht und einen gangbaren Weg aufgezeigt. Insbesondere scheint die von ihm vorgenommene tabellarische Umdeutung der deutschen Lärmzuteilung je nach besonderer Wohnsituation auf die schweizerischen Empfindlichkeitsstufen als praktikabel. Indes geht aus seiner Stellungnahme nicht mit hinreichender Deutlichkeit hervor, in welcher Hinsicht die Lärmmessungen des vom Gericht beauftragten Experten fehlerhaft sein sollen. Ebenso wenig zeigt das angefochtene Urteil auf, inwiefern die deutschen Richtwerte an die schweizerischen Planungs-, resp. Immissionsgrenzwerte angepasst wurden. Auch das Gutachten der EMPA hilft nicht weiter, wenn dort festgestellt wird, die Richtwerte BGE 133 II 292 S. 303 könnten im Sinne von schweizerischen Immissionsgrenzwerten interpretiert werden. Hinzu kommt, dass das zweite Gutachten des Lärmkontors, auf welches das BAFU sich massgeblich abgestützt hat, erst im bundesgerichtlichen Verfahren eingereicht wurde, dem Verwaltungsgericht mithin noch nicht zur Verfügung stand.</w:t>
      </w:r>
    </w:p>
    <w:p>
      <w:r>
        <w:rPr>
          <w:b/>
        </w:rPr>
        <w:t>E. 4.4</w:t>
      </w:r>
    </w:p>
    <w:p>
      <w:r>
        <w:t>Insgesamt lässt sich die Bundesrechtskonformität des umstrittenen Projekts aufgrund der heute zur Diskussion stehenden Betriebszeiten und verschiedenen vorgeschlagenen Lärmschutzmassnahmen nicht abschliessend beurteilen. Es ist nicht Aufgabe des Bundesgerichts, dies als erste und einzige Instanz zu tun, weshalb dem detaillierten Antrag der Gemeinde in dieser Form nicht Folge gegeben werden kann. Die Berechnungen des BAFU legen indes nahe, dass die vom Verwaltungsgericht festgelegten Benutzungszeiten zu restriktiv sind, weshalb die Gemeinde mit ihrem Hauptanliegen sinngemäss obsiegt. In Gutheissung ihrer Beschwerde und in Aufhebung des angefochtenen Entscheids hat das Verwaltungsgericht das Projekt im Sinne der Erwägungen nochmals zu beurteilen. Es wird aufgrund der Ausführungen des BAFU zu prüfen haben, ob es das zweite Gutachten des Lärmkontors zu Rate ziehen oder ein zusätzliches Gutachten einholen will; desgleichen hat es darzulegen, ob und inwiefern es bei seiner Beurteilung auf die 18. BImSchV abstellt. Legt es seinen Betriebsvorschriften und den von ihm verhängten baulichen Massnahmen die eigene Erfahrung zugrunde, hat es darzulegen, von welchen Überlegungen es sich leiten liess und inwiefern es allenfalls zusätzlich dem Vorsorgegedanken Rechnung getragen hat. Die privaten Beschwerdeführer dringen demgegenüber mit ihren Anliegen nicht durch, auch wenn sie in ihrem Subeventualantrag um Rückweisung an das Verwaltungsgericht ersuchen. Sie bezwecken damit strengere Vorgaben, welche aufgrund der Berechnungen des BAFU und der gesamten Interessenabwägung nicht zu erwarten sind.</w:t>
      </w:r>
    </w:p>
    <w:p>
      <w:r>
        <w:rPr>
          <w:b/>
        </w:rPr>
        <w:t>E. 5</w:t>
      </w:r>
    </w:p>
    <w:p>
      <w:r>
        <w:t>dB(A) erhöhte Richtwerte. Altanlagen werden gegenüber neuen Anlagen immerhin in gewissem Umfang privilegiert. Zumindest eine Ähnlichkeit zwischen den schweizerischen Planungs- und Immissionsgrenzwerten einerseits und den Richtwerten für Neuanlagen und den erhöhten Richtwerten, welche bei Altanlagen zur Festlegung von Betriebszeiten führen, andererseits, ist damit nicht von der Hand zu weisen. Im Sinne des Ermessens, welches dem Richter bei der lärmrechtlichen Beurteilung aufgrund von Art. 15 USG mangels vorgegebener Belastungsgrenzwerte zukommt, scheint das Vorgehen des BAFU nicht bundesrechtswidrig, sondern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